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28FC5" w14:textId="3340E5A5" w:rsidR="00BF54D0" w:rsidRDefault="00BF54D0" w:rsidP="00BF54D0">
      <w:pPr>
        <w:spacing w:line="240" w:lineRule="auto"/>
        <w:ind w:firstLine="567"/>
        <w:jc w:val="center"/>
        <w:textAlignment w:val="baseline"/>
        <w:rPr>
          <w:rFonts w:cstheme="minorHAnsi"/>
          <w:b/>
          <w:lang w:val="ro-RO"/>
        </w:rPr>
      </w:pPr>
      <w:r w:rsidRPr="00BF54D0">
        <w:rPr>
          <w:rFonts w:cstheme="minorHAnsi"/>
          <w:b/>
          <w:bCs/>
          <w:lang w:val="ro-RO"/>
        </w:rPr>
        <w:t>FINANCIAL OUTCOME. Închiderea anului financiar 2019, aspecte privind IFRS și noutăți fiscale pentru 2020</w:t>
      </w:r>
    </w:p>
    <w:p w14:paraId="2F10AB78" w14:textId="3751ADC5" w:rsidR="00513000" w:rsidRDefault="00BF54D0" w:rsidP="00BF54D0">
      <w:pPr>
        <w:spacing w:line="240" w:lineRule="auto"/>
        <w:ind w:firstLine="567"/>
        <w:jc w:val="center"/>
        <w:textAlignment w:val="baseline"/>
        <w:rPr>
          <w:rFonts w:cstheme="minorHAnsi"/>
          <w:b/>
          <w:bCs/>
          <w:lang w:val="ro-RO"/>
        </w:rPr>
      </w:pPr>
      <w:r w:rsidRPr="00BF54D0">
        <w:rPr>
          <w:rFonts w:cstheme="minorHAnsi"/>
          <w:b/>
          <w:bCs/>
          <w:lang w:val="ro-RO"/>
        </w:rPr>
        <w:t>31 ianuarie 2020</w:t>
      </w:r>
      <w:r w:rsidRPr="00BF54D0">
        <w:rPr>
          <w:rFonts w:cstheme="minorHAnsi"/>
          <w:b/>
          <w:lang w:val="ro-RO"/>
        </w:rPr>
        <w:t>,</w:t>
      </w:r>
      <w:r w:rsidR="008A2527">
        <w:rPr>
          <w:rFonts w:cstheme="minorHAnsi"/>
          <w:b/>
          <w:lang w:val="ro-RO"/>
        </w:rPr>
        <w:t xml:space="preserve"> București,</w:t>
      </w:r>
      <w:r w:rsidRPr="00BF54D0">
        <w:rPr>
          <w:rFonts w:cstheme="minorHAnsi"/>
          <w:b/>
          <w:lang w:val="ro-RO"/>
        </w:rPr>
        <w:t xml:space="preserve"> </w:t>
      </w:r>
      <w:r w:rsidRPr="00BF54D0">
        <w:rPr>
          <w:rFonts w:cstheme="minorHAnsi"/>
          <w:b/>
          <w:bCs/>
          <w:lang w:val="ro-RO"/>
        </w:rPr>
        <w:t>Hote</w:t>
      </w:r>
      <w:r w:rsidRPr="00BF54D0">
        <w:rPr>
          <w:rFonts w:cstheme="minorHAnsi"/>
          <w:b/>
          <w:lang w:val="ro-RO"/>
        </w:rPr>
        <w:t xml:space="preserve">l </w:t>
      </w:r>
      <w:r w:rsidRPr="00BF54D0">
        <w:rPr>
          <w:rFonts w:cstheme="minorHAnsi"/>
          <w:b/>
          <w:bCs/>
          <w:lang w:val="ro-RO"/>
        </w:rPr>
        <w:t>InterContinental</w:t>
      </w:r>
    </w:p>
    <w:p w14:paraId="0D3223A2" w14:textId="77777777" w:rsidR="00BF54D0" w:rsidRPr="00BF54D0" w:rsidRDefault="00BF54D0" w:rsidP="00BF54D0">
      <w:pPr>
        <w:spacing w:line="240" w:lineRule="auto"/>
        <w:ind w:firstLine="567"/>
        <w:jc w:val="center"/>
        <w:textAlignment w:val="baseline"/>
        <w:rPr>
          <w:rFonts w:cstheme="minorHAnsi"/>
          <w:b/>
        </w:rPr>
      </w:pPr>
    </w:p>
    <w:p w14:paraId="2D8EE154" w14:textId="30F771AC" w:rsidR="00E2392F" w:rsidRPr="00BF54D0" w:rsidRDefault="00E2392F" w:rsidP="00BF54D0">
      <w:pPr>
        <w:spacing w:line="240" w:lineRule="auto"/>
        <w:ind w:firstLine="567"/>
        <w:jc w:val="both"/>
        <w:textAlignment w:val="baseline"/>
        <w:rPr>
          <w:rFonts w:cstheme="minorHAnsi"/>
          <w:lang w:val="en-US"/>
        </w:rPr>
      </w:pPr>
      <w:r w:rsidRPr="00BF54D0">
        <w:rPr>
          <w:rFonts w:cstheme="minorHAnsi"/>
          <w:lang w:val="en-US"/>
        </w:rPr>
        <w:t>BusinessMark, cu sprijinul Camerei Consultanților Fiscali, are plăcerea să vă anunţe organizarea</w:t>
      </w:r>
      <w:r w:rsidRPr="00BF54D0">
        <w:rPr>
          <w:rFonts w:cstheme="minorHAnsi"/>
          <w:lang w:val="ro-RO"/>
        </w:rPr>
        <w:t xml:space="preserve"> </w:t>
      </w:r>
      <w:r w:rsidR="006809D1" w:rsidRPr="00BF54D0">
        <w:rPr>
          <w:rFonts w:cstheme="minorHAnsi"/>
          <w:lang w:val="ro-RO"/>
        </w:rPr>
        <w:t>“</w:t>
      </w:r>
      <w:r w:rsidR="006809D1" w:rsidRPr="00BF54D0">
        <w:rPr>
          <w:rFonts w:cstheme="minorHAnsi"/>
          <w:b/>
          <w:bCs/>
          <w:lang w:val="ro-RO"/>
        </w:rPr>
        <w:t>FINANCIAL OUTCOME. Închiderea anului financiar 2019, aspecte privind IFRS și noutăți fiscale pentru 2020</w:t>
      </w:r>
      <w:r w:rsidR="006809D1" w:rsidRPr="00BF54D0">
        <w:rPr>
          <w:rFonts w:cstheme="minorHAnsi"/>
          <w:lang w:val="ro-RO"/>
        </w:rPr>
        <w:t xml:space="preserve">”, eveniment ce va avea loc pe </w:t>
      </w:r>
      <w:r w:rsidR="006809D1" w:rsidRPr="00BF54D0">
        <w:rPr>
          <w:rFonts w:cstheme="minorHAnsi"/>
          <w:b/>
          <w:bCs/>
          <w:lang w:val="ro-RO"/>
        </w:rPr>
        <w:t>31 ianuarie 2020</w:t>
      </w:r>
      <w:r w:rsidR="006809D1" w:rsidRPr="00BF54D0">
        <w:rPr>
          <w:rFonts w:cstheme="minorHAnsi"/>
          <w:lang w:val="ro-RO"/>
        </w:rPr>
        <w:t xml:space="preserve">, la </w:t>
      </w:r>
      <w:r w:rsidR="006809D1" w:rsidRPr="00BF54D0">
        <w:rPr>
          <w:rFonts w:cstheme="minorHAnsi"/>
          <w:b/>
          <w:bCs/>
          <w:lang w:val="ro-RO"/>
        </w:rPr>
        <w:t>Hote</w:t>
      </w:r>
      <w:r w:rsidR="006809D1" w:rsidRPr="00BF54D0">
        <w:rPr>
          <w:rFonts w:cstheme="minorHAnsi"/>
          <w:lang w:val="ro-RO"/>
        </w:rPr>
        <w:t xml:space="preserve">l </w:t>
      </w:r>
      <w:r w:rsidR="006809D1" w:rsidRPr="00BF54D0">
        <w:rPr>
          <w:rFonts w:cstheme="minorHAnsi"/>
          <w:b/>
          <w:bCs/>
          <w:lang w:val="ro-RO"/>
        </w:rPr>
        <w:t>InterContinental</w:t>
      </w:r>
      <w:r w:rsidR="006809D1" w:rsidRPr="00BF54D0">
        <w:rPr>
          <w:rFonts w:cstheme="minorHAnsi"/>
          <w:lang w:val="ro-RO"/>
        </w:rPr>
        <w:t xml:space="preserve"> din București.</w:t>
      </w:r>
    </w:p>
    <w:p w14:paraId="0A5853B0" w14:textId="77777777" w:rsidR="006809D1" w:rsidRPr="006809D1" w:rsidRDefault="006809D1" w:rsidP="00BF54D0">
      <w:pPr>
        <w:spacing w:line="240" w:lineRule="auto"/>
        <w:ind w:firstLine="567"/>
        <w:jc w:val="both"/>
        <w:rPr>
          <w:rFonts w:cstheme="minorHAnsi"/>
          <w:lang w:val="en-US"/>
        </w:rPr>
      </w:pPr>
      <w:r w:rsidRPr="006809D1">
        <w:rPr>
          <w:rFonts w:cstheme="minorHAnsi"/>
          <w:lang w:val="ro-RO"/>
        </w:rPr>
        <w:t>Evenimentul, adresat atât companiilor din mediul privat, cât și celor din sectorul public, va aborda cele mai importante aspectele ce trebuie avute în vedere pentru închiderea exercițiului financiar 2019 – spețe contabile și fiscale, noutăți fiscale și reglementări contabile pentru 2020 si principalele tendințe privind IFRS.</w:t>
      </w:r>
    </w:p>
    <w:p w14:paraId="4B67D610" w14:textId="77777777" w:rsidR="00513000" w:rsidRPr="00BF54D0" w:rsidRDefault="00513000" w:rsidP="00BF54D0">
      <w:pPr>
        <w:spacing w:line="240" w:lineRule="auto"/>
        <w:ind w:firstLine="567"/>
        <w:jc w:val="both"/>
        <w:rPr>
          <w:rFonts w:eastAsiaTheme="minorEastAsia" w:cstheme="minorHAnsi"/>
          <w:b/>
          <w:bCs/>
          <w:color w:val="FF0000"/>
          <w:kern w:val="24"/>
          <w:lang w:val="ro-RO"/>
        </w:rPr>
      </w:pPr>
      <w:r w:rsidRPr="00BF54D0">
        <w:rPr>
          <w:rFonts w:eastAsiaTheme="minorEastAsia" w:cstheme="minorHAnsi"/>
          <w:b/>
          <w:bCs/>
          <w:color w:val="FF0000"/>
          <w:kern w:val="24"/>
          <w:lang w:val="ro-RO"/>
        </w:rPr>
        <w:t>Participarea la eveniment echivalează cu 5 ore de pregătire profesională pentru membrii CCF.</w:t>
      </w:r>
    </w:p>
    <w:p w14:paraId="698BFF39" w14:textId="1BB83930" w:rsidR="00262DA7" w:rsidRPr="00BF54D0" w:rsidRDefault="00513000" w:rsidP="00BF54D0">
      <w:pPr>
        <w:spacing w:line="240" w:lineRule="auto"/>
        <w:ind w:firstLine="567"/>
        <w:jc w:val="both"/>
        <w:rPr>
          <w:rFonts w:cstheme="minorHAnsi"/>
          <w:color w:val="FF0000"/>
        </w:rPr>
      </w:pPr>
      <w:r w:rsidRPr="00BF54D0">
        <w:rPr>
          <w:rFonts w:cstheme="minorHAnsi"/>
          <w:b/>
          <w:color w:val="FF0000"/>
        </w:rPr>
        <w:t>Costu</w:t>
      </w:r>
      <w:r w:rsidR="00FC1928" w:rsidRPr="00BF54D0">
        <w:rPr>
          <w:rFonts w:cstheme="minorHAnsi"/>
          <w:b/>
          <w:color w:val="FF0000"/>
        </w:rPr>
        <w:t xml:space="preserve">l de participare pentru consultantii fiscali, membri ai </w:t>
      </w:r>
      <w:r w:rsidRPr="00BF54D0">
        <w:rPr>
          <w:rFonts w:cstheme="minorHAnsi"/>
          <w:b/>
          <w:color w:val="FF0000"/>
        </w:rPr>
        <w:t>Camerei Consultantilor Fiscali e</w:t>
      </w:r>
      <w:r w:rsidR="00E2392F" w:rsidRPr="00BF54D0">
        <w:rPr>
          <w:rFonts w:cstheme="minorHAnsi"/>
          <w:b/>
          <w:color w:val="FF0000"/>
        </w:rPr>
        <w:t xml:space="preserve">ste cu un un discount de 20%: </w:t>
      </w:r>
      <w:r w:rsidR="006809D1" w:rsidRPr="00BF54D0">
        <w:rPr>
          <w:rFonts w:cstheme="minorHAnsi"/>
          <w:b/>
          <w:bCs/>
          <w:color w:val="FF0000"/>
          <w:shd w:val="clear" w:color="auto" w:fill="FFFFFF"/>
        </w:rPr>
        <w:t>71.2</w:t>
      </w:r>
      <w:r w:rsidR="00262DA7" w:rsidRPr="00BF54D0">
        <w:rPr>
          <w:rFonts w:cstheme="minorHAnsi"/>
          <w:b/>
          <w:bCs/>
          <w:color w:val="FF0000"/>
          <w:shd w:val="clear" w:color="auto" w:fill="FFFFFF"/>
        </w:rPr>
        <w:t xml:space="preserve"> Euro </w:t>
      </w:r>
      <w:r w:rsidR="00262DA7" w:rsidRPr="00BF54D0">
        <w:rPr>
          <w:rFonts w:cstheme="minorHAnsi"/>
          <w:bCs/>
          <w:color w:val="FF0000"/>
          <w:shd w:val="clear" w:color="auto" w:fill="FFFFFF"/>
        </w:rPr>
        <w:t xml:space="preserve">(fata de </w:t>
      </w:r>
      <w:r w:rsidR="006809D1" w:rsidRPr="00BF54D0">
        <w:rPr>
          <w:rFonts w:cstheme="minorHAnsi"/>
          <w:bCs/>
          <w:color w:val="FF0000"/>
          <w:shd w:val="clear" w:color="auto" w:fill="FFFFFF"/>
        </w:rPr>
        <w:t>8</w:t>
      </w:r>
      <w:r w:rsidR="00262DA7" w:rsidRPr="00BF54D0">
        <w:rPr>
          <w:rFonts w:cstheme="minorHAnsi"/>
          <w:bCs/>
          <w:color w:val="FF0000"/>
          <w:shd w:val="clear" w:color="auto" w:fill="FFFFFF"/>
        </w:rPr>
        <w:t>9 Euro)</w:t>
      </w:r>
      <w:r w:rsidR="00262DA7" w:rsidRPr="00BF54D0">
        <w:rPr>
          <w:rFonts w:cstheme="minorHAnsi"/>
          <w:b/>
          <w:bCs/>
          <w:color w:val="FF0000"/>
          <w:shd w:val="clear" w:color="auto" w:fill="FFFFFF"/>
        </w:rPr>
        <w:t xml:space="preserve"> + TVA/ participant</w:t>
      </w:r>
      <w:r w:rsidR="006809D1" w:rsidRPr="00BF54D0">
        <w:rPr>
          <w:rFonts w:cstheme="minorHAnsi"/>
          <w:b/>
          <w:bCs/>
          <w:color w:val="FF0000"/>
          <w:shd w:val="clear" w:color="auto" w:fill="FFFFFF"/>
        </w:rPr>
        <w:t>.</w:t>
      </w:r>
    </w:p>
    <w:p w14:paraId="3ACB1EA0" w14:textId="0629B930" w:rsidR="00513000" w:rsidRPr="00BF54D0" w:rsidRDefault="00513000" w:rsidP="00BF54D0">
      <w:pPr>
        <w:spacing w:line="240" w:lineRule="auto"/>
        <w:ind w:firstLine="567"/>
        <w:jc w:val="both"/>
        <w:rPr>
          <w:rFonts w:cstheme="minorHAnsi"/>
          <w:b/>
        </w:rPr>
      </w:pPr>
      <w:r w:rsidRPr="00BF54D0">
        <w:rPr>
          <w:rFonts w:cstheme="minorHAnsi"/>
          <w:b/>
        </w:rPr>
        <w:t>Program</w:t>
      </w:r>
      <w:r w:rsidR="006809D1" w:rsidRPr="00BF54D0">
        <w:rPr>
          <w:rFonts w:cstheme="minorHAnsi"/>
          <w:b/>
        </w:rPr>
        <w:t>:</w:t>
      </w:r>
    </w:p>
    <w:p w14:paraId="4DA268A6" w14:textId="77777777" w:rsidR="006809D1" w:rsidRPr="006809D1" w:rsidRDefault="006809D1" w:rsidP="00BF54D0">
      <w:pPr>
        <w:numPr>
          <w:ilvl w:val="0"/>
          <w:numId w:val="24"/>
        </w:numPr>
        <w:spacing w:line="240" w:lineRule="auto"/>
        <w:jc w:val="both"/>
        <w:rPr>
          <w:rFonts w:cstheme="minorHAnsi"/>
          <w:lang w:val="en-US"/>
        </w:rPr>
      </w:pPr>
      <w:r w:rsidRPr="006809D1">
        <w:rPr>
          <w:rFonts w:cstheme="minorHAnsi"/>
          <w:lang w:val="ro-RO"/>
        </w:rPr>
        <w:t>09:00 – 09:30 Înregistrarea participanţilor şi welcome coffee</w:t>
      </w:r>
    </w:p>
    <w:p w14:paraId="6A95807E" w14:textId="77777777" w:rsidR="006809D1" w:rsidRPr="006809D1" w:rsidRDefault="006809D1" w:rsidP="00BF54D0">
      <w:pPr>
        <w:numPr>
          <w:ilvl w:val="0"/>
          <w:numId w:val="24"/>
        </w:numPr>
        <w:spacing w:line="240" w:lineRule="auto"/>
        <w:jc w:val="both"/>
        <w:rPr>
          <w:rFonts w:cstheme="minorHAnsi"/>
          <w:lang w:val="en-US"/>
        </w:rPr>
      </w:pPr>
      <w:r w:rsidRPr="006809D1">
        <w:rPr>
          <w:rFonts w:cstheme="minorHAnsi"/>
          <w:lang w:val="ro-RO"/>
        </w:rPr>
        <w:t xml:space="preserve">09:30 – 11:30 Sesiunea I </w:t>
      </w:r>
    </w:p>
    <w:p w14:paraId="046F59F6" w14:textId="77777777" w:rsidR="006809D1" w:rsidRPr="006809D1" w:rsidRDefault="006809D1" w:rsidP="00BF54D0">
      <w:pPr>
        <w:numPr>
          <w:ilvl w:val="0"/>
          <w:numId w:val="24"/>
        </w:numPr>
        <w:spacing w:line="240" w:lineRule="auto"/>
        <w:jc w:val="both"/>
        <w:rPr>
          <w:rFonts w:cstheme="minorHAnsi"/>
          <w:lang w:val="en-US"/>
        </w:rPr>
      </w:pPr>
      <w:r w:rsidRPr="006809D1">
        <w:rPr>
          <w:rFonts w:cstheme="minorHAnsi"/>
          <w:lang w:val="ro-RO"/>
        </w:rPr>
        <w:t>11:30 – 12:00 Business Networking Coffee Break</w:t>
      </w:r>
    </w:p>
    <w:p w14:paraId="3EDAF355" w14:textId="77777777" w:rsidR="006809D1" w:rsidRPr="006809D1" w:rsidRDefault="006809D1" w:rsidP="00BF54D0">
      <w:pPr>
        <w:numPr>
          <w:ilvl w:val="0"/>
          <w:numId w:val="24"/>
        </w:numPr>
        <w:tabs>
          <w:tab w:val="clear" w:pos="720"/>
        </w:tabs>
        <w:spacing w:line="240" w:lineRule="auto"/>
        <w:jc w:val="both"/>
        <w:rPr>
          <w:rFonts w:cstheme="minorHAnsi"/>
          <w:lang w:val="en-US"/>
        </w:rPr>
      </w:pPr>
      <w:r w:rsidRPr="006809D1">
        <w:rPr>
          <w:rFonts w:cstheme="minorHAnsi"/>
          <w:lang w:val="ro-RO"/>
        </w:rPr>
        <w:t>12:00 –</w:t>
      </w:r>
      <w:r w:rsidRPr="006809D1">
        <w:rPr>
          <w:rFonts w:cstheme="minorHAnsi"/>
          <w:lang w:val="en-US"/>
        </w:rPr>
        <w:t xml:space="preserve"> </w:t>
      </w:r>
      <w:r w:rsidRPr="006809D1">
        <w:rPr>
          <w:rFonts w:cstheme="minorHAnsi"/>
          <w:lang w:val="ro-RO"/>
        </w:rPr>
        <w:t xml:space="preserve">14:00 Sesiunea a II-a </w:t>
      </w:r>
    </w:p>
    <w:p w14:paraId="70B5C9DC" w14:textId="36F4EFDA" w:rsidR="006809D1" w:rsidRPr="00BF54D0" w:rsidRDefault="006809D1" w:rsidP="00BF54D0">
      <w:pPr>
        <w:numPr>
          <w:ilvl w:val="0"/>
          <w:numId w:val="24"/>
        </w:numPr>
        <w:spacing w:line="240" w:lineRule="auto"/>
        <w:jc w:val="both"/>
        <w:rPr>
          <w:rFonts w:cstheme="minorHAnsi"/>
          <w:lang w:val="en-US"/>
        </w:rPr>
      </w:pPr>
      <w:r w:rsidRPr="006809D1">
        <w:rPr>
          <w:rFonts w:cstheme="minorHAnsi"/>
          <w:lang w:val="ro-RO"/>
        </w:rPr>
        <w:t>14:00 – 15:00 Business Lunch</w:t>
      </w:r>
    </w:p>
    <w:p w14:paraId="54C80C35" w14:textId="42FC6044" w:rsidR="00F24F30" w:rsidRDefault="00FC1928" w:rsidP="00BF54D0">
      <w:pPr>
        <w:spacing w:line="240" w:lineRule="auto"/>
        <w:ind w:firstLine="567"/>
        <w:jc w:val="both"/>
        <w:rPr>
          <w:rFonts w:cstheme="minorHAnsi"/>
          <w:b/>
        </w:rPr>
      </w:pPr>
      <w:r w:rsidRPr="00BF54D0">
        <w:rPr>
          <w:rFonts w:cstheme="minorHAnsi"/>
          <w:b/>
        </w:rPr>
        <w:t>Speakeri:</w:t>
      </w:r>
    </w:p>
    <w:p w14:paraId="6705ED2A" w14:textId="6C71F41D" w:rsidR="008A2527" w:rsidRPr="008A2527" w:rsidRDefault="008A2527" w:rsidP="008A2527">
      <w:pPr>
        <w:pStyle w:val="ListParagraph"/>
        <w:numPr>
          <w:ilvl w:val="0"/>
          <w:numId w:val="11"/>
        </w:numPr>
        <w:ind w:left="0" w:firstLine="567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809D1">
        <w:rPr>
          <w:rFonts w:asciiTheme="minorHAnsi" w:eastAsiaTheme="minorEastAsia" w:hAnsiTheme="minorHAnsi" w:cstheme="minorHAnsi"/>
          <w:b/>
          <w:sz w:val="22"/>
          <w:szCs w:val="22"/>
        </w:rPr>
        <w:t>INGA ȚÎGAI</w:t>
      </w:r>
      <w:r w:rsidRPr="00BF54D0">
        <w:rPr>
          <w:rFonts w:asciiTheme="minorHAnsi" w:eastAsiaTheme="minorEastAsia" w:hAnsiTheme="minorHAnsi" w:cstheme="minorHAnsi"/>
          <w:b/>
          <w:sz w:val="22"/>
          <w:szCs w:val="22"/>
        </w:rPr>
        <w:t xml:space="preserve">, </w:t>
      </w:r>
      <w:r w:rsidRPr="00BF54D0">
        <w:rPr>
          <w:rFonts w:asciiTheme="minorHAnsi" w:eastAsiaTheme="minorEastAsia" w:hAnsiTheme="minorHAnsi" w:cstheme="minorHAnsi"/>
          <w:bCs/>
          <w:sz w:val="22"/>
          <w:szCs w:val="22"/>
        </w:rPr>
        <w:t>Director, People Advisory Services and Tax Technology and Transformation,</w:t>
      </w:r>
      <w:r w:rsidRPr="00BF54D0">
        <w:rPr>
          <w:rFonts w:asciiTheme="minorHAnsi" w:eastAsiaTheme="minorEastAsia" w:hAnsiTheme="minorHAnsi" w:cstheme="minorHAnsi"/>
          <w:b/>
          <w:sz w:val="22"/>
          <w:szCs w:val="22"/>
        </w:rPr>
        <w:t xml:space="preserve"> EY ROMÂNIA</w:t>
      </w:r>
    </w:p>
    <w:p w14:paraId="6C9CA258" w14:textId="558D3722" w:rsidR="006809D1" w:rsidRDefault="006809D1" w:rsidP="00BF54D0">
      <w:pPr>
        <w:pStyle w:val="ListParagraph"/>
        <w:numPr>
          <w:ilvl w:val="0"/>
          <w:numId w:val="11"/>
        </w:numPr>
        <w:ind w:left="0" w:firstLine="567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809D1">
        <w:rPr>
          <w:rFonts w:asciiTheme="minorHAnsi" w:eastAsiaTheme="minorEastAsia" w:hAnsiTheme="minorHAnsi" w:cstheme="minorHAnsi"/>
          <w:b/>
          <w:sz w:val="22"/>
          <w:szCs w:val="22"/>
        </w:rPr>
        <w:t xml:space="preserve">IONUȚ MĂSTĂCĂNEANU </w:t>
      </w:r>
      <w:r w:rsidRPr="006809D1">
        <w:rPr>
          <w:rFonts w:asciiTheme="minorHAnsi" w:eastAsiaTheme="minorEastAsia" w:hAnsiTheme="minorHAnsi" w:cstheme="minorHAnsi"/>
          <w:bCs/>
          <w:sz w:val="22"/>
          <w:szCs w:val="22"/>
        </w:rPr>
        <w:t>Director, Servicii de Fiscalitate,</w:t>
      </w:r>
      <w:r w:rsidRPr="006809D1">
        <w:rPr>
          <w:rFonts w:asciiTheme="minorHAnsi" w:eastAsiaTheme="minorEastAsia" w:hAnsiTheme="minorHAnsi" w:cstheme="minorHAnsi"/>
          <w:b/>
          <w:sz w:val="22"/>
          <w:szCs w:val="22"/>
        </w:rPr>
        <w:t xml:space="preserve"> KPMG ROMÂNIA</w:t>
      </w:r>
    </w:p>
    <w:p w14:paraId="2588E3D4" w14:textId="593EF0A6" w:rsidR="008A2527" w:rsidRDefault="008A2527" w:rsidP="008A2527">
      <w:pPr>
        <w:pStyle w:val="ListParagraph"/>
        <w:numPr>
          <w:ilvl w:val="0"/>
          <w:numId w:val="11"/>
        </w:numPr>
        <w:ind w:left="0" w:firstLine="567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809D1">
        <w:rPr>
          <w:rFonts w:asciiTheme="minorHAnsi" w:eastAsiaTheme="minorEastAsia" w:hAnsiTheme="minorHAnsi" w:cstheme="minorHAnsi"/>
          <w:b/>
          <w:sz w:val="22"/>
          <w:szCs w:val="22"/>
        </w:rPr>
        <w:t>GABRIELA MARINETE</w:t>
      </w:r>
      <w:r w:rsidRPr="00BF54D0">
        <w:rPr>
          <w:rFonts w:asciiTheme="minorHAnsi" w:eastAsiaTheme="minorEastAsia" w:hAnsiTheme="minorHAnsi" w:cstheme="minorHAnsi"/>
          <w:b/>
          <w:sz w:val="22"/>
          <w:szCs w:val="22"/>
        </w:rPr>
        <w:t xml:space="preserve">, </w:t>
      </w:r>
      <w:r w:rsidRPr="00BF54D0">
        <w:rPr>
          <w:rFonts w:asciiTheme="minorHAnsi" w:eastAsiaTheme="minorEastAsia" w:hAnsiTheme="minorHAnsi" w:cstheme="minorHAnsi"/>
          <w:bCs/>
          <w:sz w:val="22"/>
          <w:szCs w:val="22"/>
        </w:rPr>
        <w:t>Senior Manager,</w:t>
      </w:r>
      <w:r w:rsidRPr="00BF54D0">
        <w:rPr>
          <w:rFonts w:asciiTheme="minorHAnsi" w:eastAsiaTheme="minorEastAsia" w:hAnsiTheme="minorHAnsi" w:cstheme="minorHAnsi"/>
          <w:b/>
          <w:sz w:val="22"/>
          <w:szCs w:val="22"/>
        </w:rPr>
        <w:t xml:space="preserve"> PWC ROMÂNIA</w:t>
      </w:r>
    </w:p>
    <w:p w14:paraId="5EA30065" w14:textId="739B19EB" w:rsidR="008A2527" w:rsidRPr="008A2527" w:rsidRDefault="008A2527" w:rsidP="008A2527">
      <w:pPr>
        <w:pStyle w:val="ListParagraph"/>
        <w:numPr>
          <w:ilvl w:val="0"/>
          <w:numId w:val="11"/>
        </w:numPr>
        <w:ind w:left="0" w:firstLine="567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809D1">
        <w:rPr>
          <w:rFonts w:asciiTheme="minorHAnsi" w:eastAsiaTheme="minorEastAsia" w:hAnsiTheme="minorHAnsi" w:cstheme="minorHAnsi"/>
          <w:b/>
          <w:sz w:val="22"/>
          <w:szCs w:val="22"/>
        </w:rPr>
        <w:t>ALINA FĂNIȚĂ</w:t>
      </w:r>
      <w:r w:rsidRPr="00BF54D0">
        <w:rPr>
          <w:rFonts w:asciiTheme="minorHAnsi" w:eastAsiaTheme="minorEastAsia" w:hAnsiTheme="minorHAnsi" w:cstheme="minorHAnsi"/>
          <w:bCs/>
          <w:sz w:val="22"/>
          <w:szCs w:val="22"/>
        </w:rPr>
        <w:t>, CEO,</w:t>
      </w:r>
      <w:r w:rsidRPr="00BF54D0">
        <w:rPr>
          <w:rFonts w:asciiTheme="minorHAnsi" w:eastAsiaTheme="minorEastAsia" w:hAnsiTheme="minorHAnsi" w:cstheme="minorHAnsi"/>
          <w:b/>
          <w:sz w:val="22"/>
          <w:szCs w:val="22"/>
        </w:rPr>
        <w:t xml:space="preserve"> PKF FINCONTA</w:t>
      </w:r>
    </w:p>
    <w:p w14:paraId="21B691A6" w14:textId="329C3E92" w:rsidR="006809D1" w:rsidRPr="00BF54D0" w:rsidRDefault="006809D1" w:rsidP="00BF54D0">
      <w:pPr>
        <w:pStyle w:val="ListParagraph"/>
        <w:numPr>
          <w:ilvl w:val="0"/>
          <w:numId w:val="11"/>
        </w:numPr>
        <w:ind w:left="0" w:firstLine="567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809D1">
        <w:rPr>
          <w:rFonts w:asciiTheme="minorHAnsi" w:eastAsiaTheme="minorEastAsia" w:hAnsiTheme="minorHAnsi" w:cstheme="minorHAnsi"/>
          <w:b/>
          <w:sz w:val="22"/>
          <w:szCs w:val="22"/>
        </w:rPr>
        <w:t>RĂZVAN UNGUREANU</w:t>
      </w:r>
      <w:r w:rsidRPr="00BF54D0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BF54D0">
        <w:rPr>
          <w:rFonts w:asciiTheme="minorHAnsi" w:eastAsiaTheme="minorEastAsia" w:hAnsiTheme="minorHAnsi" w:cstheme="minorHAnsi"/>
          <w:bCs/>
          <w:sz w:val="22"/>
          <w:szCs w:val="22"/>
        </w:rPr>
        <w:t>Senior Manager, Tax Advisory &amp; Compliance Services,</w:t>
      </w:r>
      <w:r w:rsidRPr="00BF54D0">
        <w:rPr>
          <w:rFonts w:asciiTheme="minorHAnsi" w:eastAsiaTheme="minorEastAsia" w:hAnsiTheme="minorHAnsi" w:cstheme="minorHAnsi"/>
          <w:b/>
          <w:sz w:val="22"/>
          <w:szCs w:val="22"/>
        </w:rPr>
        <w:t xml:space="preserve"> EY ROMÂNIA</w:t>
      </w:r>
    </w:p>
    <w:p w14:paraId="267DF404" w14:textId="31E6B941" w:rsidR="006809D1" w:rsidRPr="00BF54D0" w:rsidRDefault="006809D1" w:rsidP="00BF54D0">
      <w:pPr>
        <w:pStyle w:val="ListParagraph"/>
        <w:numPr>
          <w:ilvl w:val="0"/>
          <w:numId w:val="11"/>
        </w:numPr>
        <w:ind w:left="0" w:firstLine="567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809D1">
        <w:rPr>
          <w:rFonts w:asciiTheme="minorHAnsi" w:eastAsiaTheme="minorEastAsia" w:hAnsiTheme="minorHAnsi" w:cstheme="minorHAnsi"/>
          <w:b/>
          <w:sz w:val="22"/>
          <w:szCs w:val="22"/>
        </w:rPr>
        <w:t>ALIN COBILEAC</w:t>
      </w:r>
      <w:r w:rsidRPr="00BF54D0">
        <w:rPr>
          <w:rFonts w:asciiTheme="minorHAnsi" w:eastAsiaTheme="minorEastAsia" w:hAnsiTheme="minorHAnsi" w:cstheme="minorHAnsi"/>
          <w:bCs/>
          <w:sz w:val="22"/>
          <w:szCs w:val="22"/>
        </w:rPr>
        <w:t>, BI &amp; CPM Team Lead</w:t>
      </w:r>
      <w:r w:rsidRPr="00BF54D0">
        <w:rPr>
          <w:rFonts w:asciiTheme="minorHAnsi" w:eastAsiaTheme="minorEastAsia" w:hAnsiTheme="minorHAnsi" w:cstheme="minorHAnsi"/>
          <w:b/>
          <w:sz w:val="22"/>
          <w:szCs w:val="22"/>
        </w:rPr>
        <w:t>, SENIOR SOFTWARE</w:t>
      </w:r>
    </w:p>
    <w:p w14:paraId="332F38B5" w14:textId="352CF3C7" w:rsidR="006809D1" w:rsidRPr="00BF54D0" w:rsidRDefault="006809D1" w:rsidP="00BF54D0">
      <w:pPr>
        <w:pStyle w:val="ListParagraph"/>
        <w:numPr>
          <w:ilvl w:val="0"/>
          <w:numId w:val="11"/>
        </w:numPr>
        <w:ind w:left="0" w:firstLine="567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809D1">
        <w:rPr>
          <w:rFonts w:asciiTheme="minorHAnsi" w:eastAsiaTheme="minorEastAsia" w:hAnsiTheme="minorHAnsi" w:cstheme="minorHAnsi"/>
          <w:b/>
          <w:sz w:val="22"/>
          <w:szCs w:val="22"/>
        </w:rPr>
        <w:t>GEORGIANA NIȚĂ</w:t>
      </w:r>
      <w:r w:rsidRPr="00BF54D0">
        <w:rPr>
          <w:rFonts w:asciiTheme="minorHAnsi" w:eastAsiaTheme="minorEastAsia" w:hAnsiTheme="minorHAnsi" w:cstheme="minorHAnsi"/>
          <w:b/>
          <w:sz w:val="22"/>
          <w:szCs w:val="22"/>
        </w:rPr>
        <w:t xml:space="preserve">, </w:t>
      </w:r>
      <w:r w:rsidRPr="00BF54D0">
        <w:rPr>
          <w:rFonts w:asciiTheme="minorHAnsi" w:eastAsiaTheme="minorEastAsia" w:hAnsiTheme="minorHAnsi" w:cstheme="minorHAnsi"/>
          <w:bCs/>
          <w:sz w:val="22"/>
          <w:szCs w:val="22"/>
        </w:rPr>
        <w:t>Senior Manager, Guvernanță, Risc și Raportare</w:t>
      </w:r>
      <w:r w:rsidRPr="00BF54D0">
        <w:rPr>
          <w:rFonts w:asciiTheme="minorHAnsi" w:eastAsiaTheme="minorEastAsia" w:hAnsiTheme="minorHAnsi" w:cstheme="minorHAnsi"/>
          <w:b/>
          <w:sz w:val="22"/>
          <w:szCs w:val="22"/>
        </w:rPr>
        <w:t>, KPMG ROMÂNIA</w:t>
      </w:r>
    </w:p>
    <w:p w14:paraId="7C5BF010" w14:textId="77777777" w:rsidR="00BF54D0" w:rsidRDefault="00BF54D0" w:rsidP="00BF54D0">
      <w:pPr>
        <w:spacing w:line="240" w:lineRule="auto"/>
        <w:ind w:firstLine="567"/>
        <w:jc w:val="both"/>
        <w:rPr>
          <w:rFonts w:cstheme="minorHAnsi"/>
          <w:b/>
          <w:lang w:val="ro-RO"/>
        </w:rPr>
      </w:pPr>
    </w:p>
    <w:p w14:paraId="6441B948" w14:textId="0FA80530" w:rsidR="00513000" w:rsidRDefault="00513000" w:rsidP="00BF54D0">
      <w:pPr>
        <w:spacing w:line="240" w:lineRule="auto"/>
        <w:ind w:firstLine="567"/>
        <w:jc w:val="both"/>
        <w:rPr>
          <w:rFonts w:cstheme="minorHAnsi"/>
          <w:b/>
        </w:rPr>
      </w:pPr>
      <w:r w:rsidRPr="00BF54D0">
        <w:rPr>
          <w:rFonts w:cstheme="minorHAnsi"/>
          <w:b/>
        </w:rPr>
        <w:t>Tematică</w:t>
      </w:r>
    </w:p>
    <w:p w14:paraId="3BDBC8B9" w14:textId="1AC42B81" w:rsidR="008A2527" w:rsidRPr="008A2527" w:rsidRDefault="008A2527" w:rsidP="008A2527">
      <w:pPr>
        <w:numPr>
          <w:ilvl w:val="0"/>
          <w:numId w:val="25"/>
        </w:numPr>
        <w:spacing w:line="240" w:lineRule="auto"/>
        <w:jc w:val="both"/>
        <w:rPr>
          <w:rFonts w:eastAsia="Times New Roman" w:cstheme="minorHAnsi"/>
          <w:lang w:val="en-US"/>
        </w:rPr>
      </w:pPr>
      <w:r w:rsidRPr="006809D1">
        <w:rPr>
          <w:rFonts w:eastAsia="Times New Roman" w:cstheme="minorHAnsi"/>
          <w:b/>
          <w:bCs/>
          <w:lang w:val="ro-RO"/>
        </w:rPr>
        <w:t>Noutăți fiscale</w:t>
      </w:r>
      <w:r w:rsidRPr="006809D1">
        <w:rPr>
          <w:rFonts w:eastAsia="Times New Roman" w:cstheme="minorHAnsi"/>
          <w:lang w:val="ro-RO"/>
        </w:rPr>
        <w:t xml:space="preserve"> și reglementări contabile pentru 2020</w:t>
      </w:r>
    </w:p>
    <w:p w14:paraId="633DE2E8" w14:textId="77777777" w:rsidR="006809D1" w:rsidRPr="006809D1" w:rsidRDefault="006809D1" w:rsidP="00BF54D0">
      <w:pPr>
        <w:numPr>
          <w:ilvl w:val="0"/>
          <w:numId w:val="25"/>
        </w:numPr>
        <w:spacing w:line="240" w:lineRule="auto"/>
        <w:jc w:val="both"/>
        <w:rPr>
          <w:rFonts w:eastAsia="Times New Roman" w:cstheme="minorHAnsi"/>
          <w:lang w:val="en-US"/>
        </w:rPr>
      </w:pPr>
      <w:r w:rsidRPr="006809D1">
        <w:rPr>
          <w:rFonts w:eastAsia="Times New Roman" w:cstheme="minorHAnsi"/>
          <w:lang w:val="ro-RO"/>
        </w:rPr>
        <w:t xml:space="preserve">Aspectele ce trebuie avute în vedere pentru </w:t>
      </w:r>
      <w:r w:rsidRPr="006809D1">
        <w:rPr>
          <w:rFonts w:eastAsia="Times New Roman" w:cstheme="minorHAnsi"/>
          <w:b/>
          <w:bCs/>
          <w:lang w:val="ro-RO"/>
        </w:rPr>
        <w:t xml:space="preserve">închiderea exercițiului financiar 2019 </w:t>
      </w:r>
      <w:r w:rsidRPr="006809D1">
        <w:rPr>
          <w:rFonts w:eastAsia="Times New Roman" w:cstheme="minorHAnsi"/>
          <w:lang w:val="ro-RO"/>
        </w:rPr>
        <w:t xml:space="preserve">– spețe contabile și fiscale </w:t>
      </w:r>
    </w:p>
    <w:p w14:paraId="3B57FEFD" w14:textId="77777777" w:rsidR="006809D1" w:rsidRPr="006809D1" w:rsidRDefault="006809D1" w:rsidP="00BF54D0">
      <w:pPr>
        <w:numPr>
          <w:ilvl w:val="0"/>
          <w:numId w:val="25"/>
        </w:numPr>
        <w:spacing w:line="240" w:lineRule="auto"/>
        <w:jc w:val="both"/>
        <w:rPr>
          <w:rFonts w:eastAsia="Times New Roman" w:cstheme="minorHAnsi"/>
          <w:lang w:val="en-US"/>
        </w:rPr>
      </w:pPr>
      <w:r w:rsidRPr="006809D1">
        <w:rPr>
          <w:rFonts w:eastAsia="Times New Roman" w:cstheme="minorHAnsi"/>
          <w:lang w:val="ro-RO"/>
        </w:rPr>
        <w:t xml:space="preserve">Tendințe globale în </w:t>
      </w:r>
      <w:r w:rsidRPr="006809D1">
        <w:rPr>
          <w:rFonts w:eastAsia="Times New Roman" w:cstheme="minorHAnsi"/>
          <w:b/>
          <w:bCs/>
          <w:lang w:val="ro-RO"/>
        </w:rPr>
        <w:t>raportarea financiară</w:t>
      </w:r>
      <w:r w:rsidRPr="006809D1">
        <w:rPr>
          <w:rFonts w:eastAsia="Times New Roman" w:cstheme="minorHAnsi"/>
          <w:lang w:val="ro-RO"/>
        </w:rPr>
        <w:t xml:space="preserve"> și aplicarea IFRS în România</w:t>
      </w:r>
    </w:p>
    <w:p w14:paraId="39DE0EB2" w14:textId="77777777" w:rsidR="006809D1" w:rsidRPr="006809D1" w:rsidRDefault="006809D1" w:rsidP="00BF54D0">
      <w:pPr>
        <w:numPr>
          <w:ilvl w:val="0"/>
          <w:numId w:val="25"/>
        </w:numPr>
        <w:spacing w:line="240" w:lineRule="auto"/>
        <w:jc w:val="both"/>
        <w:rPr>
          <w:rFonts w:eastAsia="Times New Roman" w:cstheme="minorHAnsi"/>
          <w:lang w:val="en-US"/>
        </w:rPr>
      </w:pPr>
      <w:r w:rsidRPr="006809D1">
        <w:rPr>
          <w:rFonts w:eastAsia="Times New Roman" w:cstheme="minorHAnsi"/>
          <w:lang w:val="ro-RO"/>
        </w:rPr>
        <w:lastRenderedPageBreak/>
        <w:t xml:space="preserve">Schimbări de </w:t>
      </w:r>
      <w:r w:rsidRPr="006809D1">
        <w:rPr>
          <w:rFonts w:eastAsia="Times New Roman" w:cstheme="minorHAnsi"/>
          <w:b/>
          <w:bCs/>
          <w:lang w:val="ro-RO"/>
        </w:rPr>
        <w:t>TVA din 2020. Quick Fixes</w:t>
      </w:r>
      <w:r w:rsidRPr="006809D1">
        <w:rPr>
          <w:rFonts w:eastAsia="Times New Roman" w:cstheme="minorHAnsi"/>
          <w:lang w:val="ro-RO"/>
        </w:rPr>
        <w:t xml:space="preserve"> sau Remediile Rapide. Cum va impacta tranzacțiilor intracomunitare cu bunuri?</w:t>
      </w:r>
    </w:p>
    <w:p w14:paraId="16E693E4" w14:textId="77777777" w:rsidR="006809D1" w:rsidRPr="006809D1" w:rsidRDefault="006809D1" w:rsidP="00BF54D0">
      <w:pPr>
        <w:numPr>
          <w:ilvl w:val="0"/>
          <w:numId w:val="25"/>
        </w:numPr>
        <w:spacing w:line="240" w:lineRule="auto"/>
        <w:jc w:val="both"/>
        <w:rPr>
          <w:rFonts w:eastAsia="Times New Roman" w:cstheme="minorHAnsi"/>
          <w:lang w:val="en-US"/>
        </w:rPr>
      </w:pPr>
      <w:r w:rsidRPr="006809D1">
        <w:rPr>
          <w:rFonts w:eastAsia="Times New Roman" w:cstheme="minorHAnsi"/>
          <w:lang w:val="ro-RO"/>
        </w:rPr>
        <w:t xml:space="preserve">Aspecte privind </w:t>
      </w:r>
      <w:r w:rsidRPr="006809D1">
        <w:rPr>
          <w:rFonts w:eastAsia="Times New Roman" w:cstheme="minorHAnsi"/>
          <w:b/>
          <w:bCs/>
          <w:lang w:val="ro-RO"/>
        </w:rPr>
        <w:t xml:space="preserve">Directiva DAC6 </w:t>
      </w:r>
      <w:r w:rsidRPr="006809D1">
        <w:rPr>
          <w:rFonts w:eastAsia="Times New Roman" w:cstheme="minorHAnsi"/>
          <w:lang w:val="ro-RO"/>
        </w:rPr>
        <w:t xml:space="preserve">- Noi obligații de evaluare și raportare a tranzacțiilor transfrontaliere </w:t>
      </w:r>
    </w:p>
    <w:p w14:paraId="520E19BB" w14:textId="1063D741" w:rsidR="006809D1" w:rsidRPr="008A2527" w:rsidRDefault="006809D1" w:rsidP="00BF54D0">
      <w:pPr>
        <w:numPr>
          <w:ilvl w:val="0"/>
          <w:numId w:val="25"/>
        </w:numPr>
        <w:spacing w:line="240" w:lineRule="auto"/>
        <w:jc w:val="both"/>
        <w:rPr>
          <w:rFonts w:eastAsia="Times New Roman" w:cstheme="minorHAnsi"/>
          <w:lang w:val="en-US"/>
        </w:rPr>
      </w:pPr>
      <w:r w:rsidRPr="006809D1">
        <w:rPr>
          <w:rFonts w:eastAsia="Times New Roman" w:cstheme="minorHAnsi"/>
          <w:lang w:val="ro-RO"/>
        </w:rPr>
        <w:t xml:space="preserve">Provocări în </w:t>
      </w:r>
      <w:r w:rsidRPr="006809D1">
        <w:rPr>
          <w:rFonts w:eastAsia="Times New Roman" w:cstheme="minorHAnsi"/>
          <w:b/>
          <w:bCs/>
          <w:lang w:val="ro-RO"/>
        </w:rPr>
        <w:t>implementarea IFRS 16</w:t>
      </w:r>
    </w:p>
    <w:p w14:paraId="614582A5" w14:textId="01F1F1BF" w:rsidR="008A2527" w:rsidRPr="008A2527" w:rsidRDefault="008A2527" w:rsidP="008A2527">
      <w:pPr>
        <w:numPr>
          <w:ilvl w:val="0"/>
          <w:numId w:val="25"/>
        </w:numPr>
        <w:spacing w:line="240" w:lineRule="auto"/>
        <w:jc w:val="both"/>
        <w:rPr>
          <w:rFonts w:eastAsia="Times New Roman" w:cstheme="minorHAnsi"/>
          <w:lang w:val="en-US"/>
        </w:rPr>
      </w:pPr>
      <w:r w:rsidRPr="006809D1">
        <w:rPr>
          <w:rFonts w:eastAsia="Times New Roman" w:cstheme="minorHAnsi"/>
          <w:b/>
          <w:bCs/>
          <w:lang w:val="ro-RO"/>
        </w:rPr>
        <w:t>Obligațiile declarative</w:t>
      </w:r>
      <w:r w:rsidRPr="006809D1">
        <w:rPr>
          <w:rFonts w:eastAsia="Times New Roman" w:cstheme="minorHAnsi"/>
          <w:lang w:val="ro-RO"/>
        </w:rPr>
        <w:t xml:space="preserve"> pentru finalul anului 2019</w:t>
      </w:r>
    </w:p>
    <w:p w14:paraId="4E107BF0" w14:textId="77777777" w:rsidR="006809D1" w:rsidRPr="006809D1" w:rsidRDefault="006809D1" w:rsidP="00BF54D0">
      <w:pPr>
        <w:numPr>
          <w:ilvl w:val="0"/>
          <w:numId w:val="25"/>
        </w:numPr>
        <w:spacing w:line="240" w:lineRule="auto"/>
        <w:jc w:val="both"/>
        <w:rPr>
          <w:rFonts w:cstheme="minorHAnsi"/>
          <w:lang w:val="en-US"/>
        </w:rPr>
      </w:pPr>
      <w:r w:rsidRPr="006809D1">
        <w:rPr>
          <w:rFonts w:cstheme="minorHAnsi"/>
          <w:b/>
          <w:bCs/>
          <w:lang w:val="ro-RO"/>
        </w:rPr>
        <w:t>Politici contabile</w:t>
      </w:r>
      <w:r w:rsidRPr="006809D1">
        <w:rPr>
          <w:rFonts w:cstheme="minorHAnsi"/>
          <w:lang w:val="ro-RO"/>
        </w:rPr>
        <w:t>, ajustări, reevaluarea imobilizărilor corporale, sponsorizări. Inventarierea patrimoniului</w:t>
      </w:r>
    </w:p>
    <w:p w14:paraId="696F7250" w14:textId="77777777" w:rsidR="006809D1" w:rsidRPr="006809D1" w:rsidRDefault="006809D1" w:rsidP="00BF54D0">
      <w:pPr>
        <w:numPr>
          <w:ilvl w:val="0"/>
          <w:numId w:val="25"/>
        </w:numPr>
        <w:spacing w:line="240" w:lineRule="auto"/>
        <w:jc w:val="both"/>
        <w:rPr>
          <w:rFonts w:cstheme="minorHAnsi"/>
          <w:lang w:val="en-US"/>
        </w:rPr>
      </w:pPr>
      <w:r w:rsidRPr="006809D1">
        <w:rPr>
          <w:rFonts w:cstheme="minorHAnsi"/>
          <w:lang w:val="ro-RO"/>
        </w:rPr>
        <w:t xml:space="preserve">Aspecte privind </w:t>
      </w:r>
      <w:r w:rsidRPr="006809D1">
        <w:rPr>
          <w:rFonts w:cstheme="minorHAnsi"/>
          <w:b/>
          <w:bCs/>
          <w:lang w:val="ro-RO"/>
        </w:rPr>
        <w:t>impozitul pe profit</w:t>
      </w:r>
      <w:r w:rsidRPr="006809D1">
        <w:rPr>
          <w:rFonts w:cstheme="minorHAnsi"/>
          <w:lang w:val="ro-RO"/>
        </w:rPr>
        <w:t>. Distribuția de dividende. Pierderi din creanțe, împrumuturi intra-grup</w:t>
      </w:r>
    </w:p>
    <w:p w14:paraId="738155E1" w14:textId="77777777" w:rsidR="006809D1" w:rsidRPr="006809D1" w:rsidRDefault="006809D1" w:rsidP="00BF54D0">
      <w:pPr>
        <w:numPr>
          <w:ilvl w:val="0"/>
          <w:numId w:val="25"/>
        </w:numPr>
        <w:spacing w:line="240" w:lineRule="auto"/>
        <w:jc w:val="both"/>
        <w:rPr>
          <w:rFonts w:cstheme="minorHAnsi"/>
          <w:lang w:val="en-US"/>
        </w:rPr>
      </w:pPr>
      <w:r w:rsidRPr="006809D1">
        <w:rPr>
          <w:rFonts w:cstheme="minorHAnsi"/>
          <w:lang w:val="ro-RO"/>
        </w:rPr>
        <w:t>Pregătirea situațiilor financiare în conformitate cu Standardele Internaționale de Contabilitate specificate și cu Standardele Internaționale de Raportare Financiară</w:t>
      </w:r>
    </w:p>
    <w:p w14:paraId="43C88B61" w14:textId="77777777" w:rsidR="006809D1" w:rsidRPr="006809D1" w:rsidRDefault="006809D1" w:rsidP="00BF54D0">
      <w:pPr>
        <w:numPr>
          <w:ilvl w:val="0"/>
          <w:numId w:val="25"/>
        </w:numPr>
        <w:spacing w:line="240" w:lineRule="auto"/>
        <w:jc w:val="both"/>
        <w:rPr>
          <w:rFonts w:cstheme="minorHAnsi"/>
          <w:lang w:val="en-US"/>
        </w:rPr>
      </w:pPr>
      <w:r w:rsidRPr="006809D1">
        <w:rPr>
          <w:rFonts w:cstheme="minorHAnsi"/>
          <w:lang w:val="ro-RO"/>
        </w:rPr>
        <w:t xml:space="preserve">Provocări în întocmirea </w:t>
      </w:r>
      <w:r w:rsidRPr="006809D1">
        <w:rPr>
          <w:rFonts w:cstheme="minorHAnsi"/>
          <w:b/>
          <w:bCs/>
          <w:lang w:val="ro-RO"/>
        </w:rPr>
        <w:t>rapoartelor financiare de grup</w:t>
      </w:r>
      <w:r w:rsidRPr="006809D1">
        <w:rPr>
          <w:rFonts w:cstheme="minorHAnsi"/>
          <w:lang w:val="ro-RO"/>
        </w:rPr>
        <w:t xml:space="preserve"> incluzând subsidiare și entități asociate </w:t>
      </w:r>
    </w:p>
    <w:p w14:paraId="3A0C9555" w14:textId="77777777" w:rsidR="008A2527" w:rsidRDefault="008A2527" w:rsidP="008A2527">
      <w:pPr>
        <w:spacing w:line="240" w:lineRule="auto"/>
        <w:jc w:val="both"/>
        <w:textAlignment w:val="baseline"/>
        <w:rPr>
          <w:rFonts w:cstheme="minorHAnsi"/>
          <w:b/>
          <w:bCs/>
          <w:lang w:val="ro-RO"/>
        </w:rPr>
      </w:pPr>
    </w:p>
    <w:p w14:paraId="0E4FB393" w14:textId="3C34361C" w:rsidR="00513000" w:rsidRPr="00BF54D0" w:rsidRDefault="00513000" w:rsidP="008A2527">
      <w:pPr>
        <w:spacing w:line="240" w:lineRule="auto"/>
        <w:jc w:val="both"/>
        <w:textAlignment w:val="baseline"/>
        <w:rPr>
          <w:rFonts w:eastAsiaTheme="minorEastAsia" w:cstheme="minorHAnsi"/>
          <w:b/>
          <w:bCs/>
          <w:kern w:val="24"/>
          <w:lang w:val="ro-RO"/>
        </w:rPr>
      </w:pPr>
      <w:bookmarkStart w:id="0" w:name="_GoBack"/>
      <w:bookmarkEnd w:id="0"/>
      <w:r w:rsidRPr="00BF54D0">
        <w:rPr>
          <w:rFonts w:eastAsiaTheme="minorEastAsia" w:cstheme="minorHAnsi"/>
          <w:b/>
          <w:bCs/>
          <w:kern w:val="24"/>
          <w:lang w:val="ro-RO"/>
        </w:rPr>
        <w:t>Detalii privind participarea</w:t>
      </w:r>
    </w:p>
    <w:p w14:paraId="22A8D703" w14:textId="10D2CA44" w:rsidR="00093D26" w:rsidRPr="00BF54D0" w:rsidRDefault="00513000" w:rsidP="00BF54D0">
      <w:pPr>
        <w:shd w:val="clear" w:color="auto" w:fill="FFFFFF"/>
        <w:spacing w:line="240" w:lineRule="auto"/>
        <w:ind w:firstLine="567"/>
        <w:jc w:val="both"/>
        <w:textAlignment w:val="baseline"/>
        <w:rPr>
          <w:rFonts w:cstheme="minorHAnsi"/>
          <w:b/>
          <w:bCs/>
          <w:color w:val="FF0000"/>
          <w:shd w:val="clear" w:color="auto" w:fill="FFFFFF"/>
        </w:rPr>
      </w:pPr>
      <w:r w:rsidRPr="00BF54D0">
        <w:rPr>
          <w:rFonts w:eastAsia="Calibri" w:cstheme="minorHAnsi"/>
          <w:bCs/>
          <w:color w:val="FF0000"/>
          <w:kern w:val="24"/>
          <w:lang w:val="de-DE"/>
        </w:rPr>
        <w:t>Costu</w:t>
      </w:r>
      <w:r w:rsidR="00FC1928" w:rsidRPr="00BF54D0">
        <w:rPr>
          <w:rFonts w:eastAsia="Calibri" w:cstheme="minorHAnsi"/>
          <w:bCs/>
          <w:color w:val="FF0000"/>
          <w:kern w:val="24"/>
          <w:lang w:val="de-DE"/>
        </w:rPr>
        <w:t xml:space="preserve">l de participare pentru membri </w:t>
      </w:r>
      <w:r w:rsidRPr="00BF54D0">
        <w:rPr>
          <w:rFonts w:cstheme="minorHAnsi"/>
          <w:bCs/>
          <w:color w:val="FF0000"/>
          <w:shd w:val="clear" w:color="auto" w:fill="FFFFFF"/>
        </w:rPr>
        <w:t xml:space="preserve">Camerei Consultantilor Fiscali este cu un un discount de 20%: </w:t>
      </w:r>
      <w:r w:rsidR="00BF54D0" w:rsidRPr="00BF54D0">
        <w:rPr>
          <w:rFonts w:cstheme="minorHAnsi"/>
          <w:b/>
          <w:bCs/>
          <w:color w:val="FF0000"/>
          <w:shd w:val="clear" w:color="auto" w:fill="FFFFFF"/>
        </w:rPr>
        <w:t>71</w:t>
      </w:r>
      <w:r w:rsidR="00E558C0" w:rsidRPr="00BF54D0">
        <w:rPr>
          <w:rFonts w:cstheme="minorHAnsi"/>
          <w:b/>
          <w:bCs/>
          <w:color w:val="FF0000"/>
          <w:shd w:val="clear" w:color="auto" w:fill="FFFFFF"/>
        </w:rPr>
        <w:t>.2</w:t>
      </w:r>
      <w:r w:rsidRPr="00BF54D0">
        <w:rPr>
          <w:rFonts w:cstheme="minorHAnsi"/>
          <w:b/>
          <w:bCs/>
          <w:color w:val="FF0000"/>
          <w:shd w:val="clear" w:color="auto" w:fill="FFFFFF"/>
        </w:rPr>
        <w:t xml:space="preserve"> Euro </w:t>
      </w:r>
      <w:r w:rsidR="00E558C0" w:rsidRPr="00BF54D0">
        <w:rPr>
          <w:rFonts w:cstheme="minorHAnsi"/>
          <w:bCs/>
          <w:color w:val="FF0000"/>
          <w:shd w:val="clear" w:color="auto" w:fill="FFFFFF"/>
        </w:rPr>
        <w:t xml:space="preserve">(fata de </w:t>
      </w:r>
      <w:r w:rsidR="00BF54D0" w:rsidRPr="00BF54D0">
        <w:rPr>
          <w:rFonts w:cstheme="minorHAnsi"/>
          <w:bCs/>
          <w:color w:val="FF0000"/>
          <w:shd w:val="clear" w:color="auto" w:fill="FFFFFF"/>
        </w:rPr>
        <w:t>89</w:t>
      </w:r>
      <w:r w:rsidR="00E558C0" w:rsidRPr="00BF54D0">
        <w:rPr>
          <w:rFonts w:cstheme="minorHAnsi"/>
          <w:bCs/>
          <w:color w:val="FF0000"/>
          <w:shd w:val="clear" w:color="auto" w:fill="FFFFFF"/>
        </w:rPr>
        <w:t xml:space="preserve"> </w:t>
      </w:r>
      <w:r w:rsidRPr="00BF54D0">
        <w:rPr>
          <w:rFonts w:cstheme="minorHAnsi"/>
          <w:bCs/>
          <w:color w:val="FF0000"/>
          <w:shd w:val="clear" w:color="auto" w:fill="FFFFFF"/>
        </w:rPr>
        <w:t>Euro)</w:t>
      </w:r>
      <w:r w:rsidRPr="00BF54D0">
        <w:rPr>
          <w:rFonts w:cstheme="minorHAnsi"/>
          <w:b/>
          <w:bCs/>
          <w:color w:val="FF0000"/>
          <w:shd w:val="clear" w:color="auto" w:fill="FFFFFF"/>
        </w:rPr>
        <w:t xml:space="preserve"> + TVA/ participant</w:t>
      </w:r>
      <w:r w:rsidR="00BF54D0" w:rsidRPr="00BF54D0">
        <w:rPr>
          <w:rFonts w:cstheme="minorHAnsi"/>
          <w:b/>
          <w:bCs/>
          <w:color w:val="FF0000"/>
          <w:shd w:val="clear" w:color="auto" w:fill="FFFFFF"/>
        </w:rPr>
        <w:t>.</w:t>
      </w:r>
    </w:p>
    <w:p w14:paraId="424D41F1" w14:textId="77777777" w:rsidR="00513000" w:rsidRPr="00BF54D0" w:rsidRDefault="00513000" w:rsidP="00BF54D0">
      <w:pPr>
        <w:shd w:val="clear" w:color="auto" w:fill="FFFFFF"/>
        <w:spacing w:line="240" w:lineRule="auto"/>
        <w:ind w:firstLine="567"/>
        <w:jc w:val="both"/>
        <w:textAlignment w:val="baseline"/>
        <w:rPr>
          <w:rFonts w:cstheme="minorHAnsi"/>
          <w:bCs/>
          <w:color w:val="FF0000"/>
          <w:shd w:val="clear" w:color="auto" w:fill="FFFFFF"/>
        </w:rPr>
      </w:pPr>
      <w:r w:rsidRPr="00BF54D0">
        <w:rPr>
          <w:rFonts w:cstheme="minorHAnsi"/>
          <w:bCs/>
          <w:color w:val="FF0000"/>
          <w:shd w:val="clear" w:color="auto" w:fill="FFFFFF"/>
        </w:rPr>
        <w:t>Pentru înscrierea a doi participanti se acord</w:t>
      </w:r>
      <w:r w:rsidRPr="00BF54D0">
        <w:rPr>
          <w:rFonts w:cstheme="minorHAnsi"/>
          <w:bCs/>
          <w:color w:val="FF0000"/>
          <w:shd w:val="clear" w:color="auto" w:fill="FFFFFF"/>
          <w:lang w:val="ro-RO"/>
        </w:rPr>
        <w:t xml:space="preserve">ă un discount de 10%, 15% pentru trei participanti si 20% pentru 4 </w:t>
      </w:r>
      <w:r w:rsidRPr="00BF54D0">
        <w:rPr>
          <w:rFonts w:cstheme="minorHAnsi"/>
          <w:bCs/>
          <w:color w:val="FF0000"/>
          <w:shd w:val="clear" w:color="auto" w:fill="FFFFFF"/>
        </w:rPr>
        <w:t>sau mai mulți participanți.</w:t>
      </w:r>
    </w:p>
    <w:p w14:paraId="28E788B4" w14:textId="77777777" w:rsidR="00513000" w:rsidRPr="00BF54D0" w:rsidRDefault="00513000" w:rsidP="00BF54D0">
      <w:pPr>
        <w:shd w:val="clear" w:color="auto" w:fill="FFFFFF"/>
        <w:spacing w:line="240" w:lineRule="auto"/>
        <w:ind w:firstLine="567"/>
        <w:jc w:val="both"/>
        <w:textAlignment w:val="baseline"/>
        <w:rPr>
          <w:rFonts w:cstheme="minorHAnsi"/>
          <w:b/>
          <w:bCs/>
          <w:color w:val="FF0000"/>
          <w:shd w:val="clear" w:color="auto" w:fill="FFFFFF"/>
        </w:rPr>
      </w:pPr>
      <w:r w:rsidRPr="00BF54D0">
        <w:rPr>
          <w:rFonts w:cstheme="minorHAnsi"/>
          <w:bCs/>
          <w:color w:val="FF0000"/>
          <w:shd w:val="clear" w:color="auto" w:fill="FFFFFF"/>
        </w:rPr>
        <w:t>Va rugam sa specificati numarul carnetului de membru in mailul de confirmare a inregistrarii pentru a beneficia de taxa redusa</w:t>
      </w:r>
      <w:r w:rsidRPr="00BF54D0">
        <w:rPr>
          <w:rFonts w:cstheme="minorHAnsi"/>
          <w:b/>
          <w:bCs/>
          <w:color w:val="FF0000"/>
          <w:shd w:val="clear" w:color="auto" w:fill="FFFFFF"/>
        </w:rPr>
        <w:t>.</w:t>
      </w:r>
    </w:p>
    <w:p w14:paraId="5574262C" w14:textId="77777777" w:rsidR="00513000" w:rsidRPr="00BF54D0" w:rsidRDefault="00513000" w:rsidP="00BF54D0">
      <w:pPr>
        <w:shd w:val="clear" w:color="auto" w:fill="FFFFFF"/>
        <w:spacing w:line="240" w:lineRule="auto"/>
        <w:ind w:firstLine="567"/>
        <w:jc w:val="both"/>
        <w:rPr>
          <w:rFonts w:cstheme="minorHAnsi"/>
          <w:bCs/>
        </w:rPr>
      </w:pPr>
      <w:r w:rsidRPr="00BF54D0">
        <w:rPr>
          <w:rFonts w:cstheme="minorHAnsi"/>
          <w:bCs/>
          <w:lang w:val="ro-RO"/>
        </w:rPr>
        <w:t xml:space="preserve">Pentru a va inregistra in audienta, va rugam sa solicitati formularul de inscriere la </w:t>
      </w:r>
      <w:hyperlink r:id="rId7" w:history="1">
        <w:r w:rsidRPr="00BF54D0">
          <w:rPr>
            <w:rStyle w:val="Hyperlink"/>
            <w:rFonts w:cstheme="minorHAnsi"/>
            <w:bCs/>
            <w:lang w:val="ro-RO"/>
          </w:rPr>
          <w:t>office@business-mark.ro</w:t>
        </w:r>
      </w:hyperlink>
      <w:r w:rsidRPr="00BF54D0">
        <w:rPr>
          <w:rFonts w:cstheme="minorHAnsi"/>
          <w:bCs/>
          <w:lang w:val="ro-RO"/>
        </w:rPr>
        <w:t xml:space="preserve"> </w:t>
      </w:r>
      <w:r w:rsidRPr="00BF54D0">
        <w:rPr>
          <w:rFonts w:cstheme="minorHAnsi"/>
          <w:bCs/>
        </w:rPr>
        <w:t>.</w:t>
      </w:r>
    </w:p>
    <w:p w14:paraId="63E95C72" w14:textId="6AA01AFB" w:rsidR="00B75A95" w:rsidRPr="00BF54D0" w:rsidRDefault="00513000" w:rsidP="00BF54D0">
      <w:pPr>
        <w:shd w:val="clear" w:color="auto" w:fill="FFFFFF"/>
        <w:spacing w:line="240" w:lineRule="auto"/>
        <w:ind w:firstLine="567"/>
        <w:jc w:val="both"/>
        <w:rPr>
          <w:rFonts w:cstheme="minorHAnsi"/>
          <w:bCs/>
        </w:rPr>
      </w:pPr>
      <w:r w:rsidRPr="00BF54D0">
        <w:rPr>
          <w:rFonts w:cstheme="minorHAnsi"/>
          <w:bCs/>
        </w:rPr>
        <w:t>De asemenea, inregistrar</w:t>
      </w:r>
      <w:r w:rsidR="00BF54D0" w:rsidRPr="00BF54D0">
        <w:rPr>
          <w:rFonts w:cstheme="minorHAnsi"/>
          <w:bCs/>
        </w:rPr>
        <w:t>e</w:t>
      </w:r>
      <w:r w:rsidRPr="00BF54D0">
        <w:rPr>
          <w:rFonts w:cstheme="minorHAnsi"/>
          <w:bCs/>
        </w:rPr>
        <w:t>a se poate face si online</w:t>
      </w:r>
      <w:r w:rsidR="00BF54D0" w:rsidRPr="00BF54D0">
        <w:rPr>
          <w:rFonts w:cstheme="minorHAnsi"/>
          <w:bCs/>
        </w:rPr>
        <w:t xml:space="preserve"> </w:t>
      </w:r>
      <w:hyperlink r:id="rId8" w:history="1">
        <w:r w:rsidR="00BF54D0" w:rsidRPr="00BF54D0">
          <w:rPr>
            <w:rStyle w:val="Hyperlink"/>
            <w:rFonts w:cstheme="minorHAnsi"/>
          </w:rPr>
          <w:t>https://business-mark.ro/event/financial-outcome-inchiderea-anului-financiar-2019-aspecte-privind-ifrs-si-noutati-fiscale-pentru-2020/</w:t>
        </w:r>
      </w:hyperlink>
      <w:r w:rsidRPr="00BF54D0">
        <w:rPr>
          <w:rFonts w:cstheme="minorHAnsi"/>
          <w:bCs/>
        </w:rPr>
        <w:t xml:space="preserve"> In acest caz, pentru a beneficia de discount,</w:t>
      </w:r>
      <w:r w:rsidR="00B75A95" w:rsidRPr="00BF54D0">
        <w:rPr>
          <w:rFonts w:cstheme="minorHAnsi"/>
          <w:bCs/>
        </w:rPr>
        <w:t xml:space="preserve"> va rugam sa folositi codul de discount</w:t>
      </w:r>
      <w:r w:rsidR="00B75A95" w:rsidRPr="00BF54D0">
        <w:rPr>
          <w:rFonts w:cstheme="minorHAnsi"/>
          <w:b/>
          <w:bCs/>
        </w:rPr>
        <w:t xml:space="preserve"> CCF20</w:t>
      </w:r>
      <w:r w:rsidR="00B75A95" w:rsidRPr="00BF54D0">
        <w:rPr>
          <w:rFonts w:cstheme="minorHAnsi"/>
          <w:bCs/>
        </w:rPr>
        <w:t xml:space="preserve"> si sa il completati in campul „coupon code”.</w:t>
      </w:r>
    </w:p>
    <w:p w14:paraId="0A8C61ED" w14:textId="44BE7B41" w:rsidR="00260CD0" w:rsidRPr="00BF54D0" w:rsidRDefault="00513000" w:rsidP="00BF54D0">
      <w:pPr>
        <w:shd w:val="clear" w:color="auto" w:fill="FFFFFF"/>
        <w:spacing w:line="240" w:lineRule="auto"/>
        <w:ind w:firstLine="567"/>
        <w:jc w:val="both"/>
        <w:rPr>
          <w:rStyle w:val="Hyperlink"/>
          <w:rFonts w:cstheme="minorHAnsi"/>
        </w:rPr>
      </w:pPr>
      <w:r w:rsidRPr="00BF54D0">
        <w:rPr>
          <w:rFonts w:cstheme="minorHAnsi"/>
          <w:bCs/>
        </w:rPr>
        <w:t>Mai multe informatii despre eveniment sunt disponibile pe site-ul BusinessMark:</w:t>
      </w:r>
      <w:r w:rsidRPr="00BF54D0">
        <w:rPr>
          <w:rFonts w:cstheme="minorHAnsi"/>
        </w:rPr>
        <w:t xml:space="preserve"> </w:t>
      </w:r>
      <w:hyperlink r:id="rId9" w:history="1">
        <w:r w:rsidR="00BF54D0" w:rsidRPr="00BF54D0">
          <w:rPr>
            <w:rStyle w:val="Hyperlink"/>
            <w:rFonts w:cstheme="minorHAnsi"/>
          </w:rPr>
          <w:t>https://business-mark.ro/event/financial-outcome-inchiderea-anului-financiar-2019-aspecte-privind-ifrs-si-noutati-fiscale-pentru-2020/</w:t>
        </w:r>
      </w:hyperlink>
    </w:p>
    <w:p w14:paraId="469572C6" w14:textId="14F7423B" w:rsidR="00260CD0" w:rsidRPr="00BF54D0" w:rsidRDefault="00260CD0" w:rsidP="00BF54D0">
      <w:pPr>
        <w:shd w:val="clear" w:color="auto" w:fill="FFFFFF"/>
        <w:spacing w:line="240" w:lineRule="auto"/>
        <w:ind w:firstLine="567"/>
        <w:jc w:val="both"/>
        <w:rPr>
          <w:rStyle w:val="Hyperlink"/>
          <w:rFonts w:cstheme="minorHAnsi"/>
          <w:color w:val="auto"/>
          <w:u w:val="none"/>
        </w:rPr>
      </w:pPr>
      <w:r w:rsidRPr="00BF54D0">
        <w:rPr>
          <w:rStyle w:val="Hyperlink"/>
          <w:rFonts w:cstheme="minorHAnsi"/>
          <w:color w:val="auto"/>
          <w:u w:val="none"/>
        </w:rPr>
        <w:t xml:space="preserve">Discount-ul CCF20 este valabil pentru </w:t>
      </w:r>
      <w:r w:rsidR="00BF54D0">
        <w:rPr>
          <w:rStyle w:val="Hyperlink"/>
          <w:rFonts w:cstheme="minorHAnsi"/>
          <w:color w:val="auto"/>
          <w:u w:val="none"/>
        </w:rPr>
        <w:t>“</w:t>
      </w:r>
      <w:r w:rsidR="00BF54D0" w:rsidRPr="00BF54D0">
        <w:rPr>
          <w:rFonts w:cstheme="minorHAnsi"/>
          <w:b/>
          <w:bCs/>
          <w:lang w:val="ro-RO"/>
        </w:rPr>
        <w:t>FINANCIAL OUTCOME. Închiderea anului financiar 2019, aspecte privind IFRS și noutăți fiscale pentru 2020</w:t>
      </w:r>
      <w:r w:rsidR="00BF54D0">
        <w:rPr>
          <w:rFonts w:cstheme="minorHAnsi"/>
          <w:b/>
          <w:bCs/>
          <w:lang w:val="ro-RO"/>
        </w:rPr>
        <w:t>”</w:t>
      </w:r>
      <w:r w:rsidR="00BF54D0" w:rsidRPr="00BF54D0">
        <w:rPr>
          <w:rFonts w:cstheme="minorHAnsi"/>
          <w:b/>
          <w:bCs/>
          <w:lang w:val="ro-RO"/>
        </w:rPr>
        <w:t>.</w:t>
      </w:r>
    </w:p>
    <w:p w14:paraId="242CD5AF" w14:textId="77777777" w:rsidR="00513000" w:rsidRPr="00BF54D0" w:rsidRDefault="00513000" w:rsidP="00BF54D0">
      <w:pPr>
        <w:spacing w:line="240" w:lineRule="auto"/>
        <w:ind w:firstLine="567"/>
        <w:jc w:val="both"/>
        <w:textAlignment w:val="baseline"/>
        <w:rPr>
          <w:rFonts w:eastAsia="Calibri" w:cstheme="minorHAnsi"/>
          <w:color w:val="000000" w:themeColor="text1"/>
          <w:kern w:val="24"/>
        </w:rPr>
      </w:pPr>
      <w:r w:rsidRPr="00BF54D0">
        <w:rPr>
          <w:rFonts w:eastAsia="Calibri" w:cstheme="minorHAnsi"/>
          <w:color w:val="000000" w:themeColor="text1"/>
          <w:kern w:val="24"/>
          <w:lang w:val="ro-RO"/>
        </w:rPr>
        <w:t xml:space="preserve">Pentru mai multe detalii și înscrieri vă rugăm să contactați Alice Mitru – </w:t>
      </w:r>
      <w:hyperlink r:id="rId10" w:history="1">
        <w:r w:rsidRPr="00BF54D0">
          <w:rPr>
            <w:rStyle w:val="Hyperlink"/>
            <w:rFonts w:eastAsia="Calibri" w:cstheme="minorHAnsi"/>
            <w:kern w:val="24"/>
            <w:lang w:val="ro-RO"/>
          </w:rPr>
          <w:t>alice.mitru@business-mark.ro</w:t>
        </w:r>
      </w:hyperlink>
      <w:r w:rsidRPr="00BF54D0">
        <w:rPr>
          <w:rFonts w:eastAsia="Calibri" w:cstheme="minorHAnsi"/>
          <w:color w:val="000000" w:themeColor="text1"/>
          <w:kern w:val="24"/>
          <w:lang w:val="ro-RO"/>
        </w:rPr>
        <w:t xml:space="preserve"> </w:t>
      </w:r>
      <w:r w:rsidRPr="00BF54D0">
        <w:rPr>
          <w:rFonts w:eastAsia="Calibri" w:cstheme="minorHAnsi"/>
          <w:color w:val="000000" w:themeColor="text1"/>
          <w:kern w:val="24"/>
        </w:rPr>
        <w:t>; 021 313 98 19.</w:t>
      </w:r>
    </w:p>
    <w:sectPr w:rsidR="00513000" w:rsidRPr="00BF54D0" w:rsidSect="006F137C">
      <w:headerReference w:type="default" r:id="rId11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2766C" w14:textId="77777777" w:rsidR="00B92661" w:rsidRDefault="00B92661">
      <w:pPr>
        <w:spacing w:after="0" w:line="240" w:lineRule="auto"/>
      </w:pPr>
      <w:r>
        <w:separator/>
      </w:r>
    </w:p>
  </w:endnote>
  <w:endnote w:type="continuationSeparator" w:id="0">
    <w:p w14:paraId="731D96AA" w14:textId="77777777" w:rsidR="00B92661" w:rsidRDefault="00B9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AA961" w14:textId="77777777" w:rsidR="00B92661" w:rsidRDefault="00B92661">
      <w:pPr>
        <w:spacing w:after="0" w:line="240" w:lineRule="auto"/>
      </w:pPr>
      <w:r>
        <w:separator/>
      </w:r>
    </w:p>
  </w:footnote>
  <w:footnote w:type="continuationSeparator" w:id="0">
    <w:p w14:paraId="7CE02B24" w14:textId="77777777" w:rsidR="00B92661" w:rsidRDefault="00B9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D8306" w14:textId="4C45E24F" w:rsidR="00BF54D0" w:rsidRDefault="00BF54D0" w:rsidP="00BF54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D99587" wp14:editId="19C6849A">
          <wp:simplePos x="0" y="0"/>
          <wp:positionH relativeFrom="column">
            <wp:posOffset>5054600</wp:posOffset>
          </wp:positionH>
          <wp:positionV relativeFrom="paragraph">
            <wp:posOffset>-366395</wp:posOffset>
          </wp:positionV>
          <wp:extent cx="901700" cy="889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entitate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85" t="-4478" r="17260"/>
                  <a:stretch/>
                </pic:blipFill>
                <pic:spPr bwMode="auto">
                  <a:xfrm>
                    <a:off x="0" y="0"/>
                    <a:ext cx="901700" cy="889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C81758" wp14:editId="3007C18B">
          <wp:simplePos x="0" y="0"/>
          <wp:positionH relativeFrom="column">
            <wp:posOffset>-6350</wp:posOffset>
          </wp:positionH>
          <wp:positionV relativeFrom="paragraph">
            <wp:posOffset>-131445</wp:posOffset>
          </wp:positionV>
          <wp:extent cx="800100" cy="51898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5x120 logo BusinessMar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51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7D91"/>
    <w:multiLevelType w:val="hybridMultilevel"/>
    <w:tmpl w:val="011263AC"/>
    <w:lvl w:ilvl="0" w:tplc="44DAC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673CA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B2F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6B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42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C2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4F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A9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C0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580146"/>
    <w:multiLevelType w:val="hybridMultilevel"/>
    <w:tmpl w:val="23D04588"/>
    <w:lvl w:ilvl="0" w:tplc="C6CE5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CA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E9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23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6B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A8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E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C8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24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E45A95"/>
    <w:multiLevelType w:val="hybridMultilevel"/>
    <w:tmpl w:val="B01A5958"/>
    <w:lvl w:ilvl="0" w:tplc="0288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0A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C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03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AB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E1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AB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CA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AC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646285"/>
    <w:multiLevelType w:val="hybridMultilevel"/>
    <w:tmpl w:val="AE4ADA22"/>
    <w:lvl w:ilvl="0" w:tplc="D3A4D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08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88B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0D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42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C3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EA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80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EC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7D05E3"/>
    <w:multiLevelType w:val="hybridMultilevel"/>
    <w:tmpl w:val="EA12567E"/>
    <w:lvl w:ilvl="0" w:tplc="BC4AF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7E7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6C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C0D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6E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27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640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FAD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436D88"/>
    <w:multiLevelType w:val="hybridMultilevel"/>
    <w:tmpl w:val="9AEE32A6"/>
    <w:lvl w:ilvl="0" w:tplc="70CC9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06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C0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C7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C0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3E7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62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4E3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46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4725AF"/>
    <w:multiLevelType w:val="hybridMultilevel"/>
    <w:tmpl w:val="D00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4603"/>
    <w:multiLevelType w:val="hybridMultilevel"/>
    <w:tmpl w:val="34A4C4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474E8"/>
    <w:multiLevelType w:val="hybridMultilevel"/>
    <w:tmpl w:val="730CF2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655AD"/>
    <w:multiLevelType w:val="hybridMultilevel"/>
    <w:tmpl w:val="496650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C42B8"/>
    <w:multiLevelType w:val="hybridMultilevel"/>
    <w:tmpl w:val="A48E6F92"/>
    <w:lvl w:ilvl="0" w:tplc="B3262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02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AE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4C9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C6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0F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4C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EC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EF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4E691D"/>
    <w:multiLevelType w:val="hybridMultilevel"/>
    <w:tmpl w:val="8D043C00"/>
    <w:lvl w:ilvl="0" w:tplc="2124C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EE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67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6A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20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88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41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78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83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C4393F"/>
    <w:multiLevelType w:val="hybridMultilevel"/>
    <w:tmpl w:val="D2F8F05E"/>
    <w:lvl w:ilvl="0" w:tplc="C5586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84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6D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E7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0E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E7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E3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18E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EC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FC61C8"/>
    <w:multiLevelType w:val="hybridMultilevel"/>
    <w:tmpl w:val="004E1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0F69"/>
    <w:multiLevelType w:val="hybridMultilevel"/>
    <w:tmpl w:val="ABA213F4"/>
    <w:lvl w:ilvl="0" w:tplc="BD4221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2608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CFA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221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9A10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059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C6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70E5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EB2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9747D"/>
    <w:multiLevelType w:val="hybridMultilevel"/>
    <w:tmpl w:val="855C9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C6766"/>
    <w:multiLevelType w:val="hybridMultilevel"/>
    <w:tmpl w:val="F1B2CDBA"/>
    <w:lvl w:ilvl="0" w:tplc="D2CEA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00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E4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8E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C6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A5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2F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B2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E7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56419F"/>
    <w:multiLevelType w:val="hybridMultilevel"/>
    <w:tmpl w:val="8270ABC6"/>
    <w:lvl w:ilvl="0" w:tplc="71AAF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E3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0C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6B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6E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0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8D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4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4E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8632920"/>
    <w:multiLevelType w:val="hybridMultilevel"/>
    <w:tmpl w:val="D1A2DE4C"/>
    <w:lvl w:ilvl="0" w:tplc="883E5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783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4C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A1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C5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43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48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81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05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BF75CF5"/>
    <w:multiLevelType w:val="hybridMultilevel"/>
    <w:tmpl w:val="EF38DE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3820F6"/>
    <w:multiLevelType w:val="hybridMultilevel"/>
    <w:tmpl w:val="4A4CA232"/>
    <w:lvl w:ilvl="0" w:tplc="EC7E3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AB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06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86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29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65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AA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A5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AC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FE52735"/>
    <w:multiLevelType w:val="hybridMultilevel"/>
    <w:tmpl w:val="C8D2B62C"/>
    <w:lvl w:ilvl="0" w:tplc="39F85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685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44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9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6E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08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4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63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A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D756C81"/>
    <w:multiLevelType w:val="hybridMultilevel"/>
    <w:tmpl w:val="D0DE8B0C"/>
    <w:lvl w:ilvl="0" w:tplc="EB72F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AE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8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47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09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2F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ED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A0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83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4CF6ECF"/>
    <w:multiLevelType w:val="hybridMultilevel"/>
    <w:tmpl w:val="9F4A6172"/>
    <w:lvl w:ilvl="0" w:tplc="D3CCF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84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E2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03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0C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87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E6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46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F3734C1"/>
    <w:multiLevelType w:val="hybridMultilevel"/>
    <w:tmpl w:val="8B4663D8"/>
    <w:lvl w:ilvl="0" w:tplc="1DC687B4">
      <w:start w:val="2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7FAB185F"/>
    <w:multiLevelType w:val="hybridMultilevel"/>
    <w:tmpl w:val="45869424"/>
    <w:lvl w:ilvl="0" w:tplc="9EB2A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6F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22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E6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2E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8E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E6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63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C8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9"/>
  </w:num>
  <w:num w:numId="5">
    <w:abstractNumId w:val="16"/>
  </w:num>
  <w:num w:numId="6">
    <w:abstractNumId w:val="12"/>
  </w:num>
  <w:num w:numId="7">
    <w:abstractNumId w:val="5"/>
  </w:num>
  <w:num w:numId="8">
    <w:abstractNumId w:val="6"/>
  </w:num>
  <w:num w:numId="9">
    <w:abstractNumId w:val="17"/>
  </w:num>
  <w:num w:numId="10">
    <w:abstractNumId w:val="3"/>
  </w:num>
  <w:num w:numId="11">
    <w:abstractNumId w:val="8"/>
  </w:num>
  <w:num w:numId="12">
    <w:abstractNumId w:val="2"/>
  </w:num>
  <w:num w:numId="13">
    <w:abstractNumId w:val="15"/>
  </w:num>
  <w:num w:numId="14">
    <w:abstractNumId w:val="7"/>
  </w:num>
  <w:num w:numId="15">
    <w:abstractNumId w:val="11"/>
  </w:num>
  <w:num w:numId="16">
    <w:abstractNumId w:val="19"/>
  </w:num>
  <w:num w:numId="17">
    <w:abstractNumId w:val="24"/>
  </w:num>
  <w:num w:numId="18">
    <w:abstractNumId w:val="10"/>
  </w:num>
  <w:num w:numId="19">
    <w:abstractNumId w:val="20"/>
  </w:num>
  <w:num w:numId="20">
    <w:abstractNumId w:val="22"/>
  </w:num>
  <w:num w:numId="21">
    <w:abstractNumId w:val="21"/>
  </w:num>
  <w:num w:numId="22">
    <w:abstractNumId w:val="23"/>
  </w:num>
  <w:num w:numId="23">
    <w:abstractNumId w:val="25"/>
  </w:num>
  <w:num w:numId="24">
    <w:abstractNumId w:val="14"/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76"/>
    <w:rsid w:val="00073163"/>
    <w:rsid w:val="00093D26"/>
    <w:rsid w:val="00206832"/>
    <w:rsid w:val="00236CD2"/>
    <w:rsid w:val="00260CD0"/>
    <w:rsid w:val="002629EF"/>
    <w:rsid w:val="00262DA7"/>
    <w:rsid w:val="002D5E84"/>
    <w:rsid w:val="002E7D4E"/>
    <w:rsid w:val="00420A25"/>
    <w:rsid w:val="004B4B57"/>
    <w:rsid w:val="00513000"/>
    <w:rsid w:val="005A6A30"/>
    <w:rsid w:val="005B2562"/>
    <w:rsid w:val="005E7BA4"/>
    <w:rsid w:val="006809D1"/>
    <w:rsid w:val="006F137C"/>
    <w:rsid w:val="0072025B"/>
    <w:rsid w:val="007F3D92"/>
    <w:rsid w:val="008060BD"/>
    <w:rsid w:val="008A2527"/>
    <w:rsid w:val="008C6524"/>
    <w:rsid w:val="008D5DB7"/>
    <w:rsid w:val="00904CAC"/>
    <w:rsid w:val="00915D9F"/>
    <w:rsid w:val="0098799C"/>
    <w:rsid w:val="00AA735C"/>
    <w:rsid w:val="00B75A95"/>
    <w:rsid w:val="00B80876"/>
    <w:rsid w:val="00B92661"/>
    <w:rsid w:val="00BD1879"/>
    <w:rsid w:val="00BD4888"/>
    <w:rsid w:val="00BF3126"/>
    <w:rsid w:val="00BF54D0"/>
    <w:rsid w:val="00C6699B"/>
    <w:rsid w:val="00D77CD3"/>
    <w:rsid w:val="00E2392F"/>
    <w:rsid w:val="00E558C0"/>
    <w:rsid w:val="00EA57CA"/>
    <w:rsid w:val="00F24F30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A5E16"/>
  <w15:chartTrackingRefBased/>
  <w15:docId w15:val="{711171C2-8435-4B98-ADBC-E77672F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0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5130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300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1300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130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F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0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3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8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1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6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6038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12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87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23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8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3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7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6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20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34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15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66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13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42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9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1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994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33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941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2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8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276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91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11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4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38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90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85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16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06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66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66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76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1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54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9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4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9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0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-mark.ro/event/financial-outcome-inchiderea-anului-financiar-2019-aspecte-privind-ifrs-si-noutati-fiscale-pentru-202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business-mark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ice.mitru@business-mark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siness-mark.ro/event/financial-outcome-inchiderea-anului-financiar-2019-aspecte-privind-ifrs-si-noutati-fiscale-pentru-202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DanielD</cp:lastModifiedBy>
  <cp:revision>3</cp:revision>
  <dcterms:created xsi:type="dcterms:W3CDTF">2020-01-23T08:59:00Z</dcterms:created>
  <dcterms:modified xsi:type="dcterms:W3CDTF">2020-01-23T10:17:00Z</dcterms:modified>
</cp:coreProperties>
</file>